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z w:val="36"/>
          <w:szCs w:val="36"/>
        </w:rPr>
      </w:pPr>
      <w:bookmarkStart w:colFirst="0" w:colLast="0" w:name="_heading=h.1fob9te" w:id="0"/>
      <w:bookmarkEnd w:id="0"/>
      <w:r w:rsidDel="00000000" w:rsidR="00000000" w:rsidRPr="00000000">
        <w:rPr>
          <w:rFonts w:ascii="Arial" w:cs="Arial" w:eastAsia="Arial" w:hAnsi="Arial"/>
          <w:b w:val="1"/>
          <w:sz w:val="36"/>
          <w:szCs w:val="36"/>
          <w:rtl w:val="0"/>
        </w:rPr>
        <w:t xml:space="preserve">Call-Off Schedule 25 (Billable Works and Projects)</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spacing w:after="120" w:before="120" w:lineRule="auto"/>
        <w:ind w:left="36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Introduction</w:t>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This schedule prescribes the procedure, calculations and rates to be used by the Buyer and Supplier when assessing the Charges for </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sz w:val="24"/>
          <w:szCs w:val="24"/>
          <w:rtl w:val="0"/>
        </w:rPr>
        <w:t xml:space="preserve">Billable Works and Projects.</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For the avoidance of doubt, nothing in this Schedule shall give the Supplier exclusive rights over Billable Works and Projects and the Buyer shall </w:t>
      </w:r>
      <w:r w:rsidDel="00000000" w:rsidR="00000000" w:rsidRPr="00000000">
        <w:rPr>
          <w:rFonts w:ascii="Arial" w:cs="Arial" w:eastAsia="Arial" w:hAnsi="Arial"/>
          <w:sz w:val="24"/>
          <w:szCs w:val="24"/>
          <w:rtl w:val="0"/>
        </w:rPr>
        <w:t xml:space="preserve">n</w:t>
      </w:r>
      <w:r w:rsidDel="00000000" w:rsidR="00000000" w:rsidRPr="00000000">
        <w:rPr>
          <w:rFonts w:ascii="Arial" w:cs="Arial" w:eastAsia="Arial" w:hAnsi="Arial"/>
          <w:color w:val="000000"/>
          <w:sz w:val="24"/>
          <w:szCs w:val="24"/>
          <w:rtl w:val="0"/>
        </w:rPr>
        <w:t xml:space="preserve">ot be required to order Billable Works or Projects from the Supplier, and shall be entitled to order Billable Works and Projects from other Suppliers.</w:t>
      </w: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Buyer reserves the right to vary or amend this Schedule a</w:t>
      </w:r>
      <w:r w:rsidDel="00000000" w:rsidR="00000000" w:rsidRPr="00000000">
        <w:rPr>
          <w:rFonts w:ascii="Arial" w:cs="Arial" w:eastAsia="Arial" w:hAnsi="Arial"/>
          <w:sz w:val="24"/>
          <w:szCs w:val="24"/>
          <w:rtl w:val="0"/>
        </w:rPr>
        <w:t xml:space="preserve">s part of a Call Off Award Procedure</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spacing w:after="120" w:before="120" w:lineRule="auto"/>
        <w:ind w:left="36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Billable Works</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spacing w:after="0" w:lineRule="auto"/>
        <w:ind w:left="1080" w:hanging="720"/>
        <w:jc w:val="left"/>
        <w:rPr>
          <w:rFonts w:ascii="Arial" w:cs="Arial" w:eastAsia="Arial" w:hAnsi="Arial"/>
          <w:color w:val="000000"/>
          <w:sz w:val="24"/>
          <w:szCs w:val="24"/>
        </w:rPr>
      </w:pPr>
      <w:r w:rsidDel="00000000" w:rsidR="00000000" w:rsidRPr="00000000">
        <w:rPr>
          <w:rFonts w:ascii="Arial" w:cs="Arial" w:eastAsia="Arial" w:hAnsi="Arial"/>
          <w:color w:val="222222"/>
          <w:sz w:val="24"/>
          <w:szCs w:val="24"/>
          <w:highlight w:val="white"/>
          <w:rtl w:val="0"/>
        </w:rPr>
        <w:t xml:space="preserve">The Billable Works Management Uplift Percentage shall be applied against the cost of the Billable Works.</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Rule="auto"/>
        <w:ind w:left="1080" w:firstLine="0"/>
        <w:jc w:val="left"/>
        <w:rPr>
          <w:rFonts w:ascii="Arial" w:cs="Arial" w:eastAsia="Arial" w:hAnsi="Arial"/>
          <w:color w:val="222222"/>
          <w:sz w:val="24"/>
          <w:szCs w:val="24"/>
          <w:highlight w:val="white"/>
        </w:rPr>
      </w:pPr>
      <w:r w:rsidDel="00000000" w:rsidR="00000000" w:rsidRPr="00000000">
        <w:rPr>
          <w:rtl w:val="0"/>
        </w:rPr>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spacing w:after="0" w:lineRule="auto"/>
        <w:ind w:left="1080" w:hanging="720"/>
        <w:jc w:val="left"/>
        <w:rPr>
          <w:rFonts w:ascii="Arial" w:cs="Arial" w:eastAsia="Arial" w:hAnsi="Arial"/>
          <w:color w:val="000000"/>
          <w:sz w:val="24"/>
          <w:szCs w:val="24"/>
        </w:rPr>
      </w:pPr>
      <w:r w:rsidDel="00000000" w:rsidR="00000000" w:rsidRPr="00000000">
        <w:rPr>
          <w:rFonts w:ascii="Arial" w:cs="Arial" w:eastAsia="Arial" w:hAnsi="Arial"/>
          <w:color w:val="222222"/>
          <w:sz w:val="24"/>
          <w:szCs w:val="24"/>
          <w:highlight w:val="white"/>
          <w:rtl w:val="0"/>
        </w:rPr>
        <w:t xml:space="preserve">The Billable Works Management Uplift Percentage shall include the costs of:</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spacing w:after="200" w:lineRule="auto"/>
        <w:ind w:left="1656" w:hanging="576"/>
        <w:jc w:val="left"/>
        <w:rPr>
          <w:rFonts w:ascii="Arial" w:cs="Arial" w:eastAsia="Arial" w:hAnsi="Arial"/>
          <w:sz w:val="24"/>
          <w:szCs w:val="24"/>
        </w:rPr>
      </w:pPr>
      <w:bookmarkStart w:colFirst="0" w:colLast="0" w:name="_heading=h.2et92p0" w:id="1"/>
      <w:bookmarkEnd w:id="1"/>
      <w:r w:rsidDel="00000000" w:rsidR="00000000" w:rsidRPr="00000000">
        <w:rPr>
          <w:rFonts w:ascii="Arial" w:cs="Arial" w:eastAsia="Arial" w:hAnsi="Arial"/>
          <w:color w:val="222222"/>
          <w:sz w:val="24"/>
          <w:szCs w:val="24"/>
          <w:highlight w:val="white"/>
          <w:rtl w:val="0"/>
        </w:rPr>
        <w:t xml:space="preserve">processing and managing the quotation/tenders within each tier as per the Buyers process;</w:t>
      </w:r>
      <w:r w:rsidDel="00000000" w:rsidR="00000000" w:rsidRPr="00000000">
        <w:rPr>
          <w:rtl w:val="0"/>
        </w:rPr>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spacing w:after="200" w:lineRule="auto"/>
        <w:ind w:left="1656" w:hanging="576"/>
        <w:jc w:val="left"/>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management of works;</w:t>
      </w:r>
      <w:r w:rsidDel="00000000" w:rsidR="00000000" w:rsidRPr="00000000">
        <w:rPr>
          <w:rtl w:val="0"/>
        </w:rPr>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spacing w:after="200" w:lineRule="auto"/>
        <w:ind w:left="1656" w:hanging="576"/>
        <w:jc w:val="left"/>
        <w:rPr>
          <w:rFonts w:ascii="Arial" w:cs="Arial" w:eastAsia="Arial" w:hAnsi="Arial"/>
          <w:sz w:val="24"/>
          <w:szCs w:val="24"/>
        </w:rPr>
      </w:pPr>
      <w:bookmarkStart w:colFirst="0" w:colLast="0" w:name="_heading=h.gjdgxs" w:id="2"/>
      <w:bookmarkEnd w:id="2"/>
      <w:r w:rsidDel="00000000" w:rsidR="00000000" w:rsidRPr="00000000">
        <w:rPr>
          <w:rFonts w:ascii="Arial" w:cs="Arial" w:eastAsia="Arial" w:hAnsi="Arial"/>
          <w:color w:val="222222"/>
          <w:sz w:val="24"/>
          <w:szCs w:val="24"/>
          <w:highlight w:val="white"/>
          <w:rtl w:val="0"/>
        </w:rPr>
        <w:t xml:space="preserve">management of subcontractors</w:t>
      </w:r>
      <w:r w:rsidDel="00000000" w:rsidR="00000000" w:rsidRPr="00000000">
        <w:rPr>
          <w:rFonts w:ascii="Arial" w:cs="Arial" w:eastAsia="Arial" w:hAnsi="Arial"/>
          <w:color w:val="222222"/>
          <w:sz w:val="24"/>
          <w:szCs w:val="24"/>
          <w:rtl w:val="0"/>
        </w:rPr>
        <w:t xml:space="preserve"> (where applicable); and</w:t>
      </w:r>
      <w:r w:rsidDel="00000000" w:rsidR="00000000" w:rsidRPr="00000000">
        <w:rPr>
          <w:rtl w:val="0"/>
        </w:rPr>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spacing w:after="200" w:lineRule="auto"/>
        <w:ind w:left="1656" w:hanging="576"/>
        <w:jc w:val="left"/>
        <w:rPr>
          <w:rFonts w:ascii="Arial" w:cs="Arial" w:eastAsia="Arial" w:hAnsi="Arial"/>
          <w:sz w:val="24"/>
          <w:szCs w:val="24"/>
        </w:rPr>
      </w:pPr>
      <w:bookmarkStart w:colFirst="0" w:colLast="0" w:name="_heading=h.3dy6vkm" w:id="3"/>
      <w:bookmarkEnd w:id="3"/>
      <w:r w:rsidDel="00000000" w:rsidR="00000000" w:rsidRPr="00000000">
        <w:rPr>
          <w:rFonts w:ascii="Arial" w:cs="Arial" w:eastAsia="Arial" w:hAnsi="Arial"/>
          <w:color w:val="222222"/>
          <w:sz w:val="24"/>
          <w:szCs w:val="24"/>
          <w:rtl w:val="0"/>
        </w:rPr>
        <w:t xml:space="preserve">day to day administration. </w:t>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Rule="auto"/>
        <w:ind w:left="1656"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spacing w:after="0" w:lineRule="auto"/>
        <w:ind w:left="1080" w:hanging="720"/>
        <w:jc w:val="left"/>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The Billable Works Management Uplift Percentage shall exclude any service delivery costs which are expected to be included in the pricing of the works.</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All Billable Works shall be authorised in accordance with the Billable Works and Approvals Process.  The Buyer may at its discretion require Billable Works to be:</w:t>
      </w:r>
      <w:r w:rsidDel="00000000" w:rsidR="00000000" w:rsidRPr="00000000">
        <w:rPr>
          <w:rtl w:val="0"/>
        </w:rPr>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managed and executed by the Supplier;</w:t>
      </w:r>
      <w:r w:rsidDel="00000000" w:rsidR="00000000" w:rsidRPr="00000000">
        <w:rPr>
          <w:rtl w:val="0"/>
        </w:rPr>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managed by a third party nominated by the Buyer and executed by the Supplier; </w:t>
      </w:r>
      <w:r w:rsidDel="00000000" w:rsidR="00000000" w:rsidRPr="00000000">
        <w:rPr>
          <w:rtl w:val="0"/>
        </w:rPr>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managed by the Supplier and executed by any third party nominated by the Buyer.</w:t>
      </w: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sz w:val="24"/>
          <w:szCs w:val="24"/>
        </w:rPr>
      </w:pPr>
      <w:bookmarkStart w:colFirst="0" w:colLast="0" w:name="_heading=h.1t3h5sf" w:id="4"/>
      <w:bookmarkEnd w:id="4"/>
      <w:r w:rsidDel="00000000" w:rsidR="00000000" w:rsidRPr="00000000">
        <w:rPr>
          <w:rFonts w:ascii="Arial" w:cs="Arial" w:eastAsia="Arial" w:hAnsi="Arial"/>
          <w:color w:val="000000"/>
          <w:sz w:val="24"/>
          <w:szCs w:val="24"/>
          <w:rtl w:val="0"/>
        </w:rPr>
        <w:t xml:space="preserve">Any estimate/quotation for Billable Works shall breakdown the costs in the categories below:</w:t>
      </w:r>
      <w:r w:rsidDel="00000000" w:rsidR="00000000" w:rsidRPr="00000000">
        <w:rPr>
          <w:rtl w:val="0"/>
        </w:rPr>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labour;</w:t>
      </w:r>
      <w:r w:rsidDel="00000000" w:rsidR="00000000" w:rsidRPr="00000000">
        <w:rPr>
          <w:rtl w:val="0"/>
        </w:rPr>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parts;</w:t>
      </w:r>
      <w:r w:rsidDel="00000000" w:rsidR="00000000" w:rsidRPr="00000000">
        <w:rPr>
          <w:rtl w:val="0"/>
        </w:rPr>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replacement Assets; </w:t>
      </w:r>
      <w:r w:rsidDel="00000000" w:rsidR="00000000" w:rsidRPr="00000000">
        <w:rPr>
          <w:rtl w:val="0"/>
        </w:rPr>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materials; </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applicable cost categories as the Buyer may notify to the Supplier from time to time. </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Billable Works Management Uplift Percentage (which includes Overhead); and</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profit; </w:t>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1985"/>
          <w:tab w:val="left" w:pos="2127"/>
        </w:tabs>
        <w:spacing w:after="120" w:befor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08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Where Billable Works are delivered directly via the Supplier’s appointed Sub</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ontractor the estimate/quotation shall breakdown the cost categories as per 2.5.1 – 2.5.7 and shall also include:</w:t>
      </w:r>
      <w:r w:rsidDel="00000000" w:rsidR="00000000" w:rsidRPr="00000000">
        <w:rPr>
          <w:rtl w:val="0"/>
        </w:rPr>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Subcontractor name</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Subcontractor total cost (including Subcontractors profit and overhead)</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080" w:hanging="720"/>
        <w:rPr>
          <w:rFonts w:ascii="Arial" w:cs="Arial" w:eastAsia="Arial" w:hAnsi="Arial"/>
        </w:rPr>
      </w:pPr>
      <w:r w:rsidDel="00000000" w:rsidR="00000000" w:rsidRPr="00000000">
        <w:rPr>
          <w:rFonts w:ascii="Arial" w:cs="Arial" w:eastAsia="Arial" w:hAnsi="Arial"/>
          <w:sz w:val="24"/>
          <w:szCs w:val="24"/>
          <w:rtl w:val="0"/>
        </w:rPr>
        <w:t xml:space="preserve">The application of the Billable Works Management Uplift Percentage and Profit percentages shall be as follows:</w:t>
      </w:r>
      <w:r w:rsidDel="00000000" w:rsidR="00000000" w:rsidRPr="00000000">
        <w:rPr>
          <w:rtl w:val="0"/>
        </w:rPr>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Calculate sum total of costs defined in paragraph 2.5.1 – 2.5.5</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Apply Billable Works Management Uplift Percentage as per 2.5.6 </w:t>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Apply profit as per 2.5.7 </w:t>
      </w:r>
    </w:p>
    <w:p w:rsidR="00000000" w:rsidDel="00000000" w:rsidP="00000000" w:rsidRDefault="00000000" w:rsidRPr="00000000" w14:paraId="00000025">
      <w:pPr>
        <w:spacing w:after="120" w:befor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numPr>
          <w:ilvl w:val="0"/>
          <w:numId w:val="1"/>
        </w:numPr>
        <w:spacing w:after="120" w:before="120" w:lineRule="auto"/>
        <w:ind w:left="360" w:hanging="360"/>
        <w:rPr>
          <w:rFonts w:ascii="Arial" w:cs="Arial" w:eastAsia="Arial" w:hAnsi="Arial"/>
          <w:color w:val="000000"/>
          <w:sz w:val="24"/>
          <w:szCs w:val="24"/>
        </w:rPr>
      </w:pPr>
      <w:bookmarkStart w:colFirst="0" w:colLast="0" w:name="_heading=h.3znysh7" w:id="5"/>
      <w:bookmarkEnd w:id="5"/>
      <w:r w:rsidDel="00000000" w:rsidR="00000000" w:rsidRPr="00000000">
        <w:rPr>
          <w:rFonts w:ascii="Arial" w:cs="Arial" w:eastAsia="Arial" w:hAnsi="Arial"/>
          <w:b w:val="1"/>
          <w:color w:val="000000"/>
          <w:sz w:val="24"/>
          <w:szCs w:val="24"/>
          <w:rtl w:val="0"/>
        </w:rPr>
        <w:t xml:space="preserve">Quotations and Tenders for Billable Works</w:t>
      </w:r>
      <w:r w:rsidDel="00000000" w:rsidR="00000000" w:rsidRPr="00000000">
        <w:rPr>
          <w:rtl w:val="0"/>
        </w:rPr>
      </w:r>
    </w:p>
    <w:p w:rsidR="00000000" w:rsidDel="00000000" w:rsidP="00000000" w:rsidRDefault="00000000" w:rsidRPr="00000000" w14:paraId="00000027">
      <w:pPr>
        <w:numPr>
          <w:ilvl w:val="1"/>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080" w:hanging="720"/>
        <w:rPr>
          <w:rFonts w:ascii="Arial" w:cs="Arial" w:eastAsia="Arial" w:hAnsi="Arial"/>
        </w:rPr>
      </w:pPr>
      <w:bookmarkStart w:colFirst="0" w:colLast="0" w:name="_heading=h.30j0zll" w:id="6"/>
      <w:bookmarkEnd w:id="6"/>
      <w:r w:rsidDel="00000000" w:rsidR="00000000" w:rsidRPr="00000000">
        <w:rPr>
          <w:rFonts w:ascii="Arial" w:cs="Arial" w:eastAsia="Arial" w:hAnsi="Arial"/>
          <w:color w:val="000000"/>
          <w:sz w:val="24"/>
          <w:szCs w:val="24"/>
          <w:rtl w:val="0"/>
        </w:rPr>
        <w:t xml:space="preserve">Where the Buyer gives instructions to the Supplier to manage and/or execute Billable Works according to </w:t>
      </w:r>
      <w:r w:rsidDel="00000000" w:rsidR="00000000" w:rsidRPr="00000000">
        <w:rPr>
          <w:rFonts w:ascii="Arial" w:cs="Arial" w:eastAsia="Arial" w:hAnsi="Arial"/>
          <w:sz w:val="24"/>
          <w:szCs w:val="24"/>
          <w:rtl w:val="0"/>
        </w:rPr>
        <w:t xml:space="preserve">the estimated value range</w:t>
      </w:r>
      <w:r w:rsidDel="00000000" w:rsidR="00000000" w:rsidRPr="00000000">
        <w:rPr>
          <w:rFonts w:ascii="Arial" w:cs="Arial" w:eastAsia="Arial" w:hAnsi="Arial"/>
          <w:color w:val="000000"/>
          <w:sz w:val="24"/>
          <w:szCs w:val="24"/>
          <w:rtl w:val="0"/>
        </w:rPr>
        <w:t xml:space="preserve">s, unless otherwise stated at Call Off </w:t>
      </w:r>
      <w:r w:rsidDel="00000000" w:rsidR="00000000" w:rsidRPr="00000000">
        <w:rPr>
          <w:rFonts w:ascii="Arial" w:cs="Arial" w:eastAsia="Arial" w:hAnsi="Arial"/>
          <w:sz w:val="24"/>
          <w:szCs w:val="24"/>
          <w:rtl w:val="0"/>
        </w:rPr>
        <w:t xml:space="preserve">within the Order Form.</w:t>
      </w:r>
      <w:r w:rsidDel="00000000" w:rsidR="00000000" w:rsidRPr="00000000">
        <w:rPr>
          <w:rtl w:val="0"/>
        </w:rPr>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sz w:val="24"/>
          <w:szCs w:val="24"/>
          <w:rtl w:val="0"/>
        </w:rPr>
        <w:t xml:space="preserve">Tier</w:t>
      </w:r>
      <w:r w:rsidDel="00000000" w:rsidR="00000000" w:rsidRPr="00000000">
        <w:rPr>
          <w:rFonts w:ascii="Arial" w:cs="Arial" w:eastAsia="Arial" w:hAnsi="Arial"/>
          <w:color w:val="000000"/>
          <w:sz w:val="24"/>
          <w:szCs w:val="24"/>
          <w:rtl w:val="0"/>
        </w:rPr>
        <w:t xml:space="preserve"> One Billable Works shall be managed and executed by the Supplier. Where the Billable Works are to be delivered directly by the Supplier, the Supplier shall provide an estimate of costs in accordance with the rates set out in Call Off Schedule 5 (Pricing Details) or other schedule of rates as requested by the Buyer at Call Off. Where Works are to be undertaken by other Supplier appointed third parties, the Supplier shall provide at least [one] written quotation. The Supplier shall not commence any Tier One Billable Works until approval has been granted by the Buyer to proceed to completion. </w:t>
      </w:r>
      <w:r w:rsidDel="00000000" w:rsidR="00000000" w:rsidRPr="00000000">
        <w:rPr>
          <w:rtl w:val="0"/>
        </w:rPr>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Tier Two Billable Works shall be managed and/or executed by the Supplier. Where instructed by the Buyer, the Supplier shall obtain at least [three] written quotations. The Supplier shall not commence any Tier Two Billable Works until approval has been granted by the Buyer to proceed to completion. </w:t>
      </w:r>
      <w:r w:rsidDel="00000000" w:rsidR="00000000" w:rsidRPr="00000000">
        <w:rPr>
          <w:rtl w:val="0"/>
        </w:rPr>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Tier Three Billable Works shall be managed and/or executed by the Supplier.  Where instructed by the Buyer, the Supplier shall obtain at least [three] formal tenders under the defined procurement process as agreed between the Supplier and the Buyer from time to time. The Supplier shall not commence any Tier Three Billable Works until approval has been granted by the Buyer to proceed to completion. </w:t>
      </w:r>
      <w:r w:rsidDel="00000000" w:rsidR="00000000" w:rsidRPr="00000000">
        <w:rPr>
          <w:rtl w:val="0"/>
        </w:rPr>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Tier Four Billable Works shall be managed and/or executed by the Supplier. Where instructed by the Buyer, the Supplier shall obtain at least [five] formal tenders under the Supplier’s defined procurement process. The Supplier shall not commence any Tier Four Billable Works until approval has been granted by the Buyer to proceed to completion.   </w:t>
      </w:r>
      <w:r w:rsidDel="00000000" w:rsidR="00000000" w:rsidRPr="00000000">
        <w:rPr>
          <w:rtl w:val="0"/>
        </w:rPr>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Where the Buyer allows the Supplier to both manage the tender process and tender for the Billable Works, the Supplier shall ensure appropriate Ethical </w:t>
      </w:r>
      <w:r w:rsidDel="00000000" w:rsidR="00000000" w:rsidRPr="00000000">
        <w:rPr>
          <w:rFonts w:ascii="Arial" w:cs="Arial" w:eastAsia="Arial" w:hAnsi="Arial"/>
          <w:sz w:val="24"/>
          <w:szCs w:val="24"/>
          <w:rtl w:val="0"/>
        </w:rPr>
        <w:t xml:space="preserve">W</w:t>
      </w:r>
      <w:r w:rsidDel="00000000" w:rsidR="00000000" w:rsidRPr="00000000">
        <w:rPr>
          <w:rFonts w:ascii="Arial" w:cs="Arial" w:eastAsia="Arial" w:hAnsi="Arial"/>
          <w:color w:val="000000"/>
          <w:sz w:val="24"/>
          <w:szCs w:val="24"/>
          <w:rtl w:val="0"/>
        </w:rPr>
        <w:t xml:space="preserve">all arrangements are in place to prevent conflicts of interest and that the Public Contract Regulations (2015) are adhered to.</w:t>
      </w:r>
      <w:r w:rsidDel="00000000" w:rsidR="00000000" w:rsidRPr="00000000">
        <w:rPr>
          <w:rtl w:val="0"/>
        </w:rPr>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sz w:val="28"/>
          <w:szCs w:val="28"/>
        </w:rPr>
      </w:pPr>
      <w:r w:rsidDel="00000000" w:rsidR="00000000" w:rsidRPr="00000000">
        <w:rPr>
          <w:rFonts w:ascii="Arial" w:cs="Arial" w:eastAsia="Arial" w:hAnsi="Arial"/>
          <w:color w:val="202124"/>
          <w:sz w:val="24"/>
          <w:szCs w:val="24"/>
          <w:highlight w:val="white"/>
          <w:rtl w:val="0"/>
        </w:rPr>
        <w:t xml:space="preserve">The terms and conditions for Billable Works will be as per those in the PSC unless otherwise specified by the Buyer under their defined procurement process.</w:t>
      </w:r>
      <w:r w:rsidDel="00000000" w:rsidR="00000000" w:rsidRPr="00000000">
        <w:rPr>
          <w:rtl w:val="0"/>
        </w:rPr>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seek prior written approval from the Buyer prior to proceeding to provide any Billable Works with the exception of:</w:t>
      </w:r>
      <w:r w:rsidDel="00000000" w:rsidR="00000000" w:rsidRPr="00000000">
        <w:rPr>
          <w:rtl w:val="0"/>
        </w:rPr>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Billable Works up to the value specified in the Order Form (Billable</w:t>
      </w:r>
      <w:r w:rsidDel="00000000" w:rsidR="00000000" w:rsidRPr="00000000">
        <w:rPr>
          <w:rFonts w:ascii="Arial" w:cs="Arial" w:eastAsia="Arial" w:hAnsi="Arial"/>
          <w:sz w:val="24"/>
          <w:szCs w:val="24"/>
          <w:rtl w:val="0"/>
        </w:rPr>
        <w:t xml:space="preserve"> Works not requiring approval)</w:t>
      </w:r>
      <w:r w:rsidDel="00000000" w:rsidR="00000000" w:rsidRPr="00000000">
        <w:rPr>
          <w:rFonts w:ascii="Arial" w:cs="Arial" w:eastAsia="Arial" w:hAnsi="Arial"/>
          <w:color w:val="000000"/>
          <w:sz w:val="24"/>
          <w:szCs w:val="24"/>
          <w:rtl w:val="0"/>
        </w:rPr>
        <w:t xml:space="preserve">; or</w:t>
      </w:r>
      <w:r w:rsidDel="00000000" w:rsidR="00000000" w:rsidRPr="00000000">
        <w:rPr>
          <w:rtl w:val="0"/>
        </w:rPr>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Billable Works required as a consequence of a Business Critical Event,</w:t>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before="120" w:lineRule="auto"/>
        <w:ind w:left="165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Buyer shall not unreasonably withhold approval to the costs associated with such Billable Works; however the Supplier shall retrospectively commence the relevant approval process set out in paragraph 3.1 by the next Working Day and complete such process as soon as reasonably practicable.</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Where Billable Works arise as a result of any:</w:t>
      </w:r>
      <w:r w:rsidDel="00000000" w:rsidR="00000000" w:rsidRPr="00000000">
        <w:rPr>
          <w:rtl w:val="0"/>
        </w:rPr>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Reactive Maintenance Works where the costs exceed the Inclusive Repair Threshold;</w:t>
      </w:r>
      <w:r w:rsidDel="00000000" w:rsidR="00000000" w:rsidRPr="00000000">
        <w:rPr>
          <w:rtl w:val="0"/>
        </w:rPr>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Works that are Small Works; or </w:t>
      </w:r>
      <w:r w:rsidDel="00000000" w:rsidR="00000000" w:rsidRPr="00000000">
        <w:rPr>
          <w:rtl w:val="0"/>
        </w:rPr>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Works arising from Planned Maintenance </w:t>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ind w:left="108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Billable Works shall not proceed until an instruction is received from the Buyer in writing or via the Security </w:t>
      </w:r>
      <w:r w:rsidDel="00000000" w:rsidR="00000000" w:rsidRPr="00000000">
        <w:rPr>
          <w:rFonts w:ascii="Arial" w:cs="Arial" w:eastAsia="Arial" w:hAnsi="Arial"/>
          <w:sz w:val="24"/>
          <w:szCs w:val="24"/>
          <w:rtl w:val="0"/>
        </w:rPr>
        <w:t xml:space="preserve">Management Tool.</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080"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Quotations for Billable Works may include the Billable Works Management Uplift Percentage (if applicable) as per the rates submitted in the Pricing Matrix.</w:t>
      </w:r>
      <w:r w:rsidDel="00000000" w:rsidR="00000000" w:rsidRPr="00000000">
        <w:rPr>
          <w:rtl w:val="0"/>
        </w:rPr>
      </w:r>
    </w:p>
    <w:p w:rsidR="00000000" w:rsidDel="00000000" w:rsidP="00000000" w:rsidRDefault="00000000" w:rsidRPr="00000000" w14:paraId="00000038">
      <w:pPr>
        <w:numPr>
          <w:ilvl w:val="1"/>
          <w:numId w:val="1"/>
        </w:numPr>
        <w:spacing w:after="120" w:before="120" w:lineRule="auto"/>
        <w:ind w:left="1080" w:hanging="720"/>
        <w:rPr>
          <w:rFonts w:ascii="Arial" w:cs="Arial" w:eastAsia="Arial" w:hAnsi="Arial"/>
        </w:rPr>
      </w:pPr>
      <w:r w:rsidDel="00000000" w:rsidR="00000000" w:rsidRPr="00000000">
        <w:rPr>
          <w:rFonts w:ascii="Arial" w:cs="Arial" w:eastAsia="Arial" w:hAnsi="Arial"/>
          <w:sz w:val="24"/>
          <w:szCs w:val="24"/>
          <w:rtl w:val="0"/>
        </w:rPr>
        <w:t xml:space="preserve">If Billable Works are aborted by the Buyer prior to completion, any claim for costs up to the point of it being aborted shall be limited to costs actually, reasonably and properly incurred and they shall be evidenced as part of any quote for the Buyer to consider. </w:t>
      </w:r>
      <w:r w:rsidDel="00000000" w:rsidR="00000000" w:rsidRPr="00000000">
        <w:rPr>
          <w:rtl w:val="0"/>
        </w:rPr>
      </w:r>
    </w:p>
    <w:p w:rsidR="00000000" w:rsidDel="00000000" w:rsidP="00000000" w:rsidRDefault="00000000" w:rsidRPr="00000000" w14:paraId="00000039">
      <w:pPr>
        <w:numPr>
          <w:ilvl w:val="2"/>
          <w:numId w:val="1"/>
        </w:numPr>
        <w:tabs>
          <w:tab w:val="left" w:pos="1985"/>
        </w:tabs>
        <w:spacing w:after="120" w:before="120" w:lineRule="auto"/>
        <w:ind w:left="1656" w:hanging="576"/>
        <w:rPr>
          <w:rFonts w:ascii="Arial" w:cs="Arial" w:eastAsia="Arial" w:hAnsi="Arial"/>
        </w:rPr>
      </w:pPr>
      <w:r w:rsidDel="00000000" w:rsidR="00000000" w:rsidRPr="00000000">
        <w:rPr>
          <w:rFonts w:ascii="Arial" w:cs="Arial" w:eastAsia="Arial" w:hAnsi="Arial"/>
          <w:sz w:val="24"/>
          <w:szCs w:val="24"/>
          <w:rtl w:val="0"/>
        </w:rPr>
        <w:t xml:space="preserve">On receipt of the Suppliers breakdown and evidence, the Buyer shall either:</w:t>
      </w:r>
      <w:r w:rsidDel="00000000" w:rsidR="00000000" w:rsidRPr="00000000">
        <w:rPr>
          <w:rtl w:val="0"/>
        </w:rPr>
      </w:r>
    </w:p>
    <w:p w:rsidR="00000000" w:rsidDel="00000000" w:rsidP="00000000" w:rsidRDefault="00000000" w:rsidRPr="00000000" w14:paraId="0000003A">
      <w:pPr>
        <w:numPr>
          <w:ilvl w:val="3"/>
          <w:numId w:val="2"/>
        </w:numPr>
        <w:tabs>
          <w:tab w:val="left" w:pos="1985"/>
        </w:tabs>
        <w:spacing w:after="120" w:before="120" w:lineRule="auto"/>
        <w:ind w:left="2520"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Notify the Supplier in writing of acceptance of the costs;</w:t>
      </w:r>
    </w:p>
    <w:p w:rsidR="00000000" w:rsidDel="00000000" w:rsidP="00000000" w:rsidRDefault="00000000" w:rsidRPr="00000000" w14:paraId="0000003B">
      <w:pPr>
        <w:numPr>
          <w:ilvl w:val="3"/>
          <w:numId w:val="2"/>
        </w:numPr>
        <w:tabs>
          <w:tab w:val="left" w:pos="1985"/>
        </w:tabs>
        <w:spacing w:after="120" w:before="120" w:lineRule="auto"/>
        <w:ind w:left="2520"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Request further information/evidence; and/or</w:t>
      </w:r>
    </w:p>
    <w:p w:rsidR="00000000" w:rsidDel="00000000" w:rsidP="00000000" w:rsidRDefault="00000000" w:rsidRPr="00000000" w14:paraId="0000003C">
      <w:pPr>
        <w:numPr>
          <w:ilvl w:val="3"/>
          <w:numId w:val="2"/>
        </w:numPr>
        <w:tabs>
          <w:tab w:val="left" w:pos="1985"/>
        </w:tabs>
        <w:spacing w:after="120" w:before="120" w:lineRule="auto"/>
        <w:ind w:left="2520"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Request a meeting to discuss/clarify the evidence provided.</w:t>
      </w:r>
    </w:p>
    <w:p w:rsidR="00000000" w:rsidDel="00000000" w:rsidP="00000000" w:rsidRDefault="00000000" w:rsidRPr="00000000" w14:paraId="0000003D">
      <w:pPr>
        <w:numPr>
          <w:ilvl w:val="1"/>
          <w:numId w:val="1"/>
        </w:numPr>
        <w:tabs>
          <w:tab w:val="left" w:pos="1985"/>
        </w:tabs>
        <w:spacing w:after="120" w:before="120" w:lineRule="auto"/>
        <w:ind w:left="1080" w:hanging="720"/>
        <w:rPr>
          <w:rFonts w:ascii="Arial" w:cs="Arial" w:eastAsia="Arial" w:hAnsi="Arial"/>
        </w:rPr>
      </w:pPr>
      <w:r w:rsidDel="00000000" w:rsidR="00000000" w:rsidRPr="00000000">
        <w:rPr>
          <w:rFonts w:ascii="Arial" w:cs="Arial" w:eastAsia="Arial" w:hAnsi="Arial"/>
          <w:sz w:val="24"/>
          <w:szCs w:val="24"/>
          <w:rtl w:val="0"/>
        </w:rPr>
        <w:t xml:space="preserve">Where the costs are agreed following the receipt of further information/evidence or following a meeting, the Buyer shall notify the Supplier in writing and confirm the costs are to apply. </w:t>
      </w:r>
      <w:r w:rsidDel="00000000" w:rsidR="00000000" w:rsidRPr="00000000">
        <w:rPr>
          <w:rtl w:val="0"/>
        </w:rPr>
      </w:r>
    </w:p>
    <w:p w:rsidR="00000000" w:rsidDel="00000000" w:rsidP="00000000" w:rsidRDefault="00000000" w:rsidRPr="00000000" w14:paraId="0000003E">
      <w:pPr>
        <w:numPr>
          <w:ilvl w:val="1"/>
          <w:numId w:val="1"/>
        </w:numPr>
        <w:tabs>
          <w:tab w:val="left" w:pos="1985"/>
        </w:tabs>
        <w:spacing w:after="120" w:before="120" w:lineRule="auto"/>
        <w:ind w:left="1080" w:hanging="720"/>
        <w:rPr>
          <w:rFonts w:ascii="Arial" w:cs="Arial" w:eastAsia="Arial" w:hAnsi="Arial"/>
        </w:rPr>
      </w:pPr>
      <w:r w:rsidDel="00000000" w:rsidR="00000000" w:rsidRPr="00000000">
        <w:rPr>
          <w:rFonts w:ascii="Arial" w:cs="Arial" w:eastAsia="Arial" w:hAnsi="Arial"/>
          <w:sz w:val="24"/>
          <w:szCs w:val="24"/>
          <w:rtl w:val="0"/>
        </w:rPr>
        <w:t xml:space="preserve">In the event that the Parties are unable to agree the costs the Parties shall follow the Dispute Resolution Procedure.</w:t>
      </w:r>
      <w:r w:rsidDel="00000000" w:rsidR="00000000" w:rsidRPr="00000000">
        <w:rPr>
          <w:rtl w:val="0"/>
        </w:rPr>
      </w:r>
    </w:p>
    <w:p w:rsidR="00000000" w:rsidDel="00000000" w:rsidP="00000000" w:rsidRDefault="00000000" w:rsidRPr="00000000" w14:paraId="0000003F">
      <w:pPr>
        <w:numPr>
          <w:ilvl w:val="0"/>
          <w:numId w:val="1"/>
        </w:numPr>
        <w:pBdr>
          <w:top w:space="0" w:sz="0" w:val="nil"/>
          <w:left w:space="0" w:sz="0" w:val="nil"/>
          <w:bottom w:space="0" w:sz="0" w:val="nil"/>
          <w:right w:space="0" w:sz="0" w:val="nil"/>
          <w:between w:space="0" w:sz="0" w:val="nil"/>
        </w:pBdr>
        <w:spacing w:before="240" w:lineRule="auto"/>
        <w:ind w:left="0" w:hanging="360"/>
        <w:rPr>
          <w:rFonts w:ascii="Arial" w:cs="Arial" w:eastAsia="Arial" w:hAnsi="Arial"/>
        </w:rPr>
      </w:pPr>
      <w:bookmarkStart w:colFirst="0" w:colLast="0" w:name="_heading=h.tyjcwt" w:id="7"/>
      <w:bookmarkEnd w:id="7"/>
      <w:r w:rsidDel="00000000" w:rsidR="00000000" w:rsidRPr="00000000">
        <w:rPr>
          <w:rFonts w:ascii="Arial" w:cs="Arial" w:eastAsia="Arial" w:hAnsi="Arial"/>
          <w:b w:val="1"/>
          <w:sz w:val="24"/>
          <w:szCs w:val="24"/>
          <w:rtl w:val="0"/>
        </w:rPr>
        <w:t xml:space="preserve">General Projects</w:t>
      </w:r>
      <w:r w:rsidDel="00000000" w:rsidR="00000000" w:rsidRPr="00000000">
        <w:rPr>
          <w:rtl w:val="0"/>
        </w:rPr>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spacing w:before="240" w:lineRule="auto"/>
        <w:ind w:left="1080" w:hanging="720"/>
        <w:rPr>
          <w:rFonts w:ascii="Arial" w:cs="Arial" w:eastAsia="Arial" w:hAnsi="Arial"/>
        </w:rPr>
      </w:pPr>
      <w:r w:rsidDel="00000000" w:rsidR="00000000" w:rsidRPr="00000000">
        <w:rPr>
          <w:rFonts w:ascii="Arial" w:cs="Arial" w:eastAsia="Arial" w:hAnsi="Arial"/>
          <w:sz w:val="24"/>
          <w:szCs w:val="24"/>
          <w:rtl w:val="0"/>
        </w:rPr>
        <w:t xml:space="preserve">If the Buyer decides at its sole discretion that the scope of any Billable Works are such that they require a defined management approach, this will be deemed to be a General Project and not a Billable Work and the management approach will be defined by the Buyer at Further Competition</w:t>
      </w:r>
      <w:r w:rsidDel="00000000" w:rsidR="00000000" w:rsidRPr="00000000">
        <w:rPr>
          <w:rtl w:val="0"/>
        </w:rPr>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spacing w:after="0" w:before="120" w:lineRule="auto"/>
        <w:ind w:left="1080"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Supplier shall provide evidence of the resource allocation required to provide any Project at the time of quotation or tender and such associated costs must be agreed as acceptable by the Buyer prior to any Works which are part of a Project commencing. </w:t>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0"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43">
      <w:pPr>
        <w:numPr>
          <w:ilvl w:val="1"/>
          <w:numId w:val="1"/>
        </w:numPr>
        <w:pBdr>
          <w:top w:space="0" w:sz="0" w:val="nil"/>
          <w:left w:space="0" w:sz="0" w:val="nil"/>
          <w:bottom w:space="0" w:sz="0" w:val="nil"/>
          <w:right w:space="0" w:sz="0" w:val="nil"/>
          <w:between w:space="0" w:sz="0" w:val="nil"/>
        </w:pBdr>
        <w:tabs>
          <w:tab w:val="left" w:pos="1985"/>
        </w:tabs>
        <w:spacing w:after="120" w:before="120" w:lineRule="auto"/>
        <w:ind w:left="108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aborts General Projects at any stage, the Supplier may provide a full breakdown and evidence of the resource allocation utilised and associated costs to date on notification of the Buyer.   Such associated costs must be agreed as acceptable by the Buyer prior to raising the invoice</w:t>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65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On </w:t>
      </w:r>
      <w:r w:rsidDel="00000000" w:rsidR="00000000" w:rsidRPr="00000000">
        <w:rPr>
          <w:rFonts w:ascii="Arial" w:cs="Arial" w:eastAsia="Arial" w:hAnsi="Arial"/>
          <w:color w:val="000000"/>
          <w:sz w:val="24"/>
          <w:szCs w:val="24"/>
          <w:rtl w:val="0"/>
        </w:rPr>
        <w:t xml:space="preserve">receipt of the Suppliers breakdown and evidence, the Buyer shall either:</w:t>
      </w:r>
      <w:r w:rsidDel="00000000" w:rsidR="00000000" w:rsidRPr="00000000">
        <w:rPr>
          <w:rtl w:val="0"/>
        </w:rPr>
      </w:r>
    </w:p>
    <w:p w:rsidR="00000000" w:rsidDel="00000000" w:rsidP="00000000" w:rsidRDefault="00000000" w:rsidRPr="00000000" w14:paraId="00000045">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520" w:hanging="86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acceptance of the costs;</w:t>
      </w:r>
    </w:p>
    <w:p w:rsidR="00000000" w:rsidDel="00000000" w:rsidP="00000000" w:rsidRDefault="00000000" w:rsidRPr="00000000" w14:paraId="00000046">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520" w:hanging="86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information/evidence; and/or</w:t>
      </w:r>
    </w:p>
    <w:p w:rsidR="00000000" w:rsidDel="00000000" w:rsidP="00000000" w:rsidRDefault="00000000" w:rsidRPr="00000000" w14:paraId="00000047">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520" w:hanging="864"/>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Request a meeting to discuss/clarify the evidence provided.</w:t>
      </w:r>
      <w:r w:rsidDel="00000000" w:rsidR="00000000" w:rsidRPr="00000000">
        <w:rPr>
          <w:rtl w:val="0"/>
        </w:rPr>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Where the costs are agreed following the receipt of further information/evidence or following a meeting, the Buyer shall notify the Supplier in writing and confirm the costs are to apply. </w:t>
      </w:r>
      <w:r w:rsidDel="00000000" w:rsidR="00000000" w:rsidRPr="00000000">
        <w:rPr>
          <w:rtl w:val="0"/>
        </w:rPr>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In the event that the Parties are unable to agree the costs the Parties shall follow the Dispute Resolution Procedure.</w:t>
      </w:r>
      <w:r w:rsidDel="00000000" w:rsidR="00000000" w:rsidRPr="00000000">
        <w:rPr>
          <w:rtl w:val="0"/>
        </w:rPr>
      </w:r>
    </w:p>
    <w:p w:rsidR="00000000" w:rsidDel="00000000" w:rsidP="00000000" w:rsidRDefault="00000000" w:rsidRPr="00000000" w14:paraId="0000004A">
      <w:pPr>
        <w:numPr>
          <w:ilvl w:val="0"/>
          <w:numId w:val="1"/>
        </w:numPr>
        <w:pBdr>
          <w:top w:space="0" w:sz="0" w:val="nil"/>
          <w:left w:space="0" w:sz="0" w:val="nil"/>
          <w:bottom w:space="0" w:sz="0" w:val="nil"/>
          <w:right w:space="0" w:sz="0" w:val="nil"/>
          <w:between w:space="0" w:sz="0" w:val="nil"/>
        </w:pBdr>
        <w:tabs>
          <w:tab w:val="left" w:pos="1985"/>
        </w:tabs>
        <w:spacing w:after="120" w:before="120" w:lineRule="auto"/>
        <w:ind w:left="360" w:hanging="360"/>
        <w:rPr>
          <w:rFonts w:ascii="Arial" w:cs="Arial" w:eastAsia="Arial" w:hAnsi="Arial"/>
        </w:rPr>
      </w:pPr>
      <w:r w:rsidDel="00000000" w:rsidR="00000000" w:rsidRPr="00000000">
        <w:rPr>
          <w:rFonts w:ascii="Arial" w:cs="Arial" w:eastAsia="Arial" w:hAnsi="Arial"/>
          <w:b w:val="1"/>
          <w:sz w:val="24"/>
          <w:szCs w:val="24"/>
          <w:rtl w:val="0"/>
        </w:rPr>
        <w:t xml:space="preserve">Inclusive Repair Threshold</w:t>
      </w:r>
      <w:r w:rsidDel="00000000" w:rsidR="00000000" w:rsidRPr="00000000">
        <w:rPr>
          <w:rtl w:val="0"/>
        </w:rPr>
      </w:r>
    </w:p>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spacing w:before="24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note that with the exception of emergencies or Business Critical Events, no activity with a value in excess of the agreed Inclusive Repair Threshold shall be undertaken without a Work Order. </w:t>
      </w:r>
      <w:r w:rsidDel="00000000" w:rsidR="00000000" w:rsidRPr="00000000">
        <w:rPr>
          <w:rtl w:val="0"/>
        </w:rPr>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tabs>
          <w:tab w:val="left" w:pos="1985"/>
        </w:tabs>
        <w:spacing w:after="120" w:before="12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Where the costs of Reactive Maintenance Works exceed the Inclusive Repair Threshold, only the cost above this value shall be billed to the Buyer through the approval process as detailed in the Billable Works and Approvals Process.</w:t>
      </w:r>
      <w:r w:rsidDel="00000000" w:rsidR="00000000" w:rsidRPr="00000000">
        <w:rPr>
          <w:rtl w:val="0"/>
        </w:rPr>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tabs>
          <w:tab w:val="left" w:pos="1985"/>
        </w:tabs>
        <w:spacing w:after="120" w:before="12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supply and install all parts associated with Reactive Maintenance Works at its own cost. The Supplier shall note that, for the avoidance of doubt, this requirement includes the replacement of entire Assets as well as component part of Assets where replacement is deemed appropriate.</w:t>
      </w:r>
      <w:r w:rsidDel="00000000" w:rsidR="00000000" w:rsidRPr="00000000">
        <w:rPr>
          <w:rtl w:val="0"/>
        </w:rPr>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spacing w:before="24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maximise the benefits of its own buying power by being granted access to and exploring other CCS frameworks and benchmarking against these before looking to their own supply agreements to offer the most advantageous commercial position to the Buyer to ensure value for money. Any negotiated discounts applied against current trade price levels shall be passed to the Buyer in full. Where appropriate the Supplier shall utilise the Buyer’s parts agreements, where any such agreements exist.</w:t>
      </w:r>
      <w:r w:rsidDel="00000000" w:rsidR="00000000" w:rsidRPr="00000000">
        <w:rPr>
          <w:rtl w:val="0"/>
        </w:rPr>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spacing w:before="24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source parts at the most cost effective terms having regard to quality and delivery time requirements. The Supplier and the Buyer shall agree in advance the use of refurbished parts where they are deemed to be cost beneficial without any loss of service or as required in order to achieve required return to full operational service.</w:t>
      </w:r>
      <w:r w:rsidDel="00000000" w:rsidR="00000000" w:rsidRPr="00000000">
        <w:rPr>
          <w:rtl w:val="0"/>
        </w:rPr>
      </w:r>
    </w:p>
    <w:p w:rsidR="00000000" w:rsidDel="00000000" w:rsidP="00000000" w:rsidRDefault="00000000" w:rsidRPr="00000000" w14:paraId="00000050">
      <w:pPr>
        <w:numPr>
          <w:ilvl w:val="1"/>
          <w:numId w:val="1"/>
        </w:numPr>
        <w:pBdr>
          <w:top w:space="0" w:sz="0" w:val="nil"/>
          <w:left w:space="0" w:sz="0" w:val="nil"/>
          <w:bottom w:space="0" w:sz="0" w:val="nil"/>
          <w:right w:space="0" w:sz="0" w:val="nil"/>
          <w:between w:space="0" w:sz="0" w:val="nil"/>
        </w:pBdr>
        <w:spacing w:before="240" w:lineRule="auto"/>
        <w:ind w:left="108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of emergencies or Business Critical Events, the Supplier may proceed with remedial action without prior approval from the Buyer. The Supplier shall seek formal approval from the Buyer by email and/or telephone as soon as is operationally possible, and shall keep the Buyer advised at all times on the technical and financial status of the task. The Buyer shall not unreasonably withhold approval of costs arising from emergencies and Business Critical Events; however the Supplier shall retrospectively commence the relevant approval process set out in paragraph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color w:val="000000"/>
          <w:sz w:val="24"/>
          <w:szCs w:val="24"/>
          <w:rtl w:val="0"/>
        </w:rPr>
        <w:t xml:space="preserve">.1 by the next Working Day and complete such process as soon as reasonably practicable</w:t>
      </w:r>
      <w:r w:rsidDel="00000000" w:rsidR="00000000" w:rsidRPr="00000000">
        <w:rPr>
          <w:rtl w:val="0"/>
        </w:rPr>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spacing w:before="24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Where works fall into the following categories, they are exclusions to Inclusive Repair Threshold and charges will be subject to review and agreement between the Supplier and the Buyer during Monthly contract performance meetings. Where charges apply, they will be considered via the Billable Works and Approvals Process. This will include but not be limited to unless otherwise stated at Call Off:</w:t>
      </w:r>
      <w:r w:rsidDel="00000000" w:rsidR="00000000" w:rsidRPr="00000000">
        <w:rPr>
          <w:rtl w:val="0"/>
        </w:rPr>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sz w:val="24"/>
          <w:szCs w:val="24"/>
          <w:rtl w:val="0"/>
        </w:rPr>
        <w:t xml:space="preserve">e</w:t>
      </w:r>
      <w:r w:rsidDel="00000000" w:rsidR="00000000" w:rsidRPr="00000000">
        <w:rPr>
          <w:rFonts w:ascii="Arial" w:cs="Arial" w:eastAsia="Arial" w:hAnsi="Arial"/>
          <w:color w:val="000000"/>
          <w:sz w:val="24"/>
          <w:szCs w:val="24"/>
          <w:rtl w:val="0"/>
        </w:rPr>
        <w:t xml:space="preserve">quipment Beyond Economic Repair, where costs, excluding management overhead and profit, exceed the Inclusive Repair Threshold;</w:t>
      </w:r>
      <w:r w:rsidDel="00000000" w:rsidR="00000000" w:rsidRPr="00000000">
        <w:rPr>
          <w:rtl w:val="0"/>
        </w:rPr>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misuse of an Asset and/or abuse of an Asset where this can be proven by the Supplier;</w:t>
      </w:r>
      <w:r w:rsidDel="00000000" w:rsidR="00000000" w:rsidRPr="00000000">
        <w:rPr>
          <w:rtl w:val="0"/>
        </w:rPr>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vandalism; </w:t>
      </w:r>
      <w:r w:rsidDel="00000000" w:rsidR="00000000" w:rsidRPr="00000000">
        <w:rPr>
          <w:rtl w:val="0"/>
        </w:rPr>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damage or failure if due to continued use by the Buyer or building user after fault has been diagnosed and the Supplier has advised the Buyer not to use the Asset;</w:t>
      </w:r>
      <w:r w:rsidDel="00000000" w:rsidR="00000000" w:rsidRPr="00000000">
        <w:rPr>
          <w:rtl w:val="0"/>
        </w:rPr>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the building user not following the Buyer or manufacturer’s operating procedural standards;</w:t>
      </w:r>
      <w:r w:rsidDel="00000000" w:rsidR="00000000" w:rsidRPr="00000000">
        <w:rPr>
          <w:rtl w:val="0"/>
        </w:rPr>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other unapproved suppliers repairing Assets;</w:t>
      </w:r>
      <w:r w:rsidDel="00000000" w:rsidR="00000000" w:rsidRPr="00000000">
        <w:rPr>
          <w:rtl w:val="0"/>
        </w:rPr>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water or cleaning fluid damage due to incorrect cleaning procedures by building users; </w:t>
      </w:r>
      <w:r w:rsidDel="00000000" w:rsidR="00000000" w:rsidRPr="00000000">
        <w:rPr>
          <w:rtl w:val="0"/>
        </w:rPr>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damage or failure due to electrical supplies being interrupted or altered by others;</w:t>
      </w:r>
      <w:r w:rsidDel="00000000" w:rsidR="00000000" w:rsidRPr="00000000">
        <w:rPr>
          <w:rtl w:val="0"/>
        </w:rPr>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access denied to the Supplier where access had been agreed and prearranged;</w:t>
      </w:r>
      <w:r w:rsidDel="00000000" w:rsidR="00000000" w:rsidRPr="00000000">
        <w:rPr>
          <w:rtl w:val="0"/>
        </w:rPr>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buyer specifies a price variation;</w:t>
      </w:r>
      <w:r w:rsidDel="00000000" w:rsidR="00000000" w:rsidRPr="00000000">
        <w:rPr>
          <w:rtl w:val="0"/>
        </w:rPr>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fire, leaks, act of god, storm damage, floods or similar force majeure; unless caused by an act or failure of the Supplier;</w:t>
      </w:r>
      <w:r w:rsidDel="00000000" w:rsidR="00000000" w:rsidRPr="00000000">
        <w:rPr>
          <w:rtl w:val="0"/>
        </w:rPr>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Billable Works;</w:t>
      </w:r>
      <w:r w:rsidDel="00000000" w:rsidR="00000000" w:rsidRPr="00000000">
        <w:rPr>
          <w:rtl w:val="0"/>
        </w:rPr>
      </w:r>
    </w:p>
    <w:p w:rsidR="00000000" w:rsidDel="00000000" w:rsidP="00000000" w:rsidRDefault="00000000" w:rsidRPr="00000000" w14:paraId="0000005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that part of the cost of the Reactive Maintenance Works for an event which exceeds the Inclusive Repair Threshold; and</w:t>
      </w:r>
      <w:r w:rsidDel="00000000" w:rsidR="00000000" w:rsidRPr="00000000">
        <w:rPr>
          <w:rtl w:val="0"/>
        </w:rPr>
      </w:r>
    </w:p>
    <w:p w:rsidR="00000000" w:rsidDel="00000000" w:rsidP="00000000" w:rsidRDefault="00000000" w:rsidRPr="00000000" w14:paraId="0000005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rPr>
          <w:rFonts w:ascii="Arial" w:cs="Arial" w:eastAsia="Arial" w:hAnsi="Arial"/>
        </w:rPr>
      </w:pPr>
      <w:r w:rsidDel="00000000" w:rsidR="00000000" w:rsidRPr="00000000">
        <w:rPr>
          <w:rFonts w:ascii="Arial" w:cs="Arial" w:eastAsia="Arial" w:hAnsi="Arial"/>
          <w:color w:val="000000"/>
          <w:sz w:val="24"/>
          <w:szCs w:val="24"/>
          <w:rtl w:val="0"/>
        </w:rPr>
        <w:t xml:space="preserve">operator error by a building user, where this can be proven by the Supplier. </w:t>
      </w: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120" w:lineRule="auto"/>
        <w:ind w:left="1080"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above listed works include works arising from Planned Maintenance.</w:t>
      </w:r>
      <w:r w:rsidDel="00000000" w:rsidR="00000000" w:rsidRPr="00000000">
        <w:rPr>
          <w:rtl w:val="0"/>
        </w:rPr>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spacing w:after="120" w:before="120" w:lineRule="auto"/>
        <w:ind w:left="1080" w:hanging="720"/>
        <w:rPr>
          <w:rFonts w:ascii="Arial" w:cs="Arial" w:eastAsia="Arial" w:hAnsi="Arial"/>
        </w:rPr>
      </w:pPr>
      <w:r w:rsidDel="00000000" w:rsidR="00000000" w:rsidRPr="00000000">
        <w:rPr>
          <w:rFonts w:ascii="Arial" w:cs="Arial" w:eastAsia="Arial" w:hAnsi="Arial"/>
          <w:color w:val="000000"/>
          <w:sz w:val="24"/>
          <w:szCs w:val="24"/>
          <w:rtl w:val="0"/>
        </w:rPr>
        <w:t xml:space="preserve">A schedule of works arising from events listed in paragraph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color w:val="000000"/>
          <w:sz w:val="24"/>
          <w:szCs w:val="24"/>
          <w:rtl w:val="0"/>
        </w:rPr>
        <w:t xml:space="preserve">.6 above shall be provided to the Buyer on a monthly basis and payment will be made through the defined approval process as agreed between the Buyer and the Supplier. </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B">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6C">
    <w:pPr>
      <w:tabs>
        <w:tab w:val="center" w:pos="4513"/>
        <w:tab w:val="right"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RM6257</w:t>
    </w:r>
  </w:p>
  <w:p w:rsidR="00000000" w:rsidDel="00000000" w:rsidP="00000000" w:rsidRDefault="00000000" w:rsidRPr="00000000" w14:paraId="0000006D">
    <w:pPr>
      <w:tabs>
        <w:tab w:val="center" w:pos="4513"/>
        <w:tab w:val="right"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r>
    <w:r w:rsidDel="00000000" w:rsidR="00000000" w:rsidRPr="00000000">
      <w:rPr>
        <w:rFonts w:ascii="Arial" w:cs="Arial" w:eastAsia="Arial" w:hAnsi="Arial"/>
        <w:sz w:val="20"/>
        <w:szCs w:val="20"/>
      </w:rPr>
      <w:fldChar w:fldCharType="begin"/>
      <w:instrText xml:space="preserve">PAGE</w:instrText>
      <w:fldChar w:fldCharType="separate"/>
      <w:fldChar w:fldCharType="end"/>
    </w:r>
    <w:bookmarkStart w:colFirst="0" w:colLast="0" w:name="bookmark=id.3dy6vkm" w:id="9"/>
    <w:bookmarkEnd w:id="9"/>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6E">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v1.0</w:t>
    </w:r>
  </w:p>
  <w:p w:rsidR="00000000" w:rsidDel="00000000" w:rsidP="00000000" w:rsidRDefault="00000000" w:rsidRPr="00000000" w14:paraId="0000006F">
    <w:pPr>
      <w:spacing w:after="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20"/>
        <w:szCs w:val="20"/>
      </w:rPr>
    </w:pPr>
    <w:bookmarkStart w:colFirst="0" w:colLast="0" w:name="_heading=h.4d34og8" w:id="8"/>
    <w:bookmarkEnd w:id="8"/>
    <w:r w:rsidDel="00000000" w:rsidR="00000000" w:rsidRPr="00000000">
      <w:rPr>
        <w:rFonts w:ascii="Arial" w:cs="Arial" w:eastAsia="Arial" w:hAnsi="Arial"/>
        <w:b w:val="1"/>
        <w:color w:val="000000"/>
        <w:sz w:val="20"/>
        <w:szCs w:val="20"/>
        <w:rtl w:val="0"/>
      </w:rPr>
      <w:t xml:space="preserve">Call-Off Schedule</w:t>
    </w:r>
    <w:r w:rsidDel="00000000" w:rsidR="00000000" w:rsidRPr="00000000">
      <w:rPr>
        <w:rFonts w:ascii="Arial" w:cs="Arial" w:eastAsia="Arial" w:hAnsi="Arial"/>
        <w:b w:val="1"/>
        <w:color w:val="000000"/>
        <w:sz w:val="20"/>
        <w:szCs w:val="20"/>
        <w:highlight w:val="white"/>
        <w:rtl w:val="0"/>
      </w:rPr>
      <w:t xml:space="preserve"> </w:t>
    </w:r>
    <w:r w:rsidDel="00000000" w:rsidR="00000000" w:rsidRPr="00000000">
      <w:rPr>
        <w:rFonts w:ascii="Arial" w:cs="Arial" w:eastAsia="Arial" w:hAnsi="Arial"/>
        <w:b w:val="1"/>
        <w:sz w:val="20"/>
        <w:szCs w:val="20"/>
        <w:highlight w:val="white"/>
        <w:rtl w:val="0"/>
      </w:rPr>
      <w:t xml:space="preserve">25</w:t>
    </w:r>
    <w:r w:rsidDel="00000000" w:rsidR="00000000" w:rsidRPr="00000000">
      <w:rPr>
        <w:rFonts w:ascii="Arial" w:cs="Arial" w:eastAsia="Arial" w:hAnsi="Arial"/>
        <w:b w:val="1"/>
        <w:color w:val="000000"/>
        <w:sz w:val="20"/>
        <w:szCs w:val="20"/>
        <w:rtl w:val="0"/>
      </w:rPr>
      <w:t xml:space="preserve"> (Billable Works and Projects) </w:t>
    </w:r>
  </w:p>
  <w:p w:rsidR="00000000" w:rsidDel="00000000" w:rsidP="00000000" w:rsidRDefault="00000000" w:rsidRPr="00000000" w14:paraId="00000063">
    <w:pPr>
      <w:tabs>
        <w:tab w:val="center" w:pos="4513"/>
        <w:tab w:val="right" w:pos="9026"/>
      </w:tabs>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64">
    <w:pPr>
      <w:tabs>
        <w:tab w:val="center" w:pos="4513"/>
        <w:tab w:val="right" w:pos="9026"/>
      </w:tabs>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08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656" w:hanging="576"/>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9" w:hanging="864.0000000000002"/>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08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656" w:hanging="576"/>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520" w:hanging="864"/>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ind w:left="4320" w:hanging="720"/>
    </w:pPr>
    <w:rPr>
      <w:rFonts w:ascii="Times New Roman" w:cs="Times New Roman" w:eastAsia="Times New Roman" w:hAnsi="Times New Roman"/>
    </w:rPr>
  </w:style>
  <w:style w:type="paragraph" w:styleId="Heading6">
    <w:name w:val="heading 6"/>
    <w:basedOn w:val="Normal"/>
    <w:next w:val="Normal"/>
    <w:pPr>
      <w:spacing w:line="360" w:lineRule="auto"/>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iPriority w:val="9"/>
    <w:semiHidden w:val="1"/>
    <w:unhideWhenUsed w:val="1"/>
    <w:qFormat w:val="1"/>
    <w:pPr>
      <w:keepNext w:val="1"/>
      <w:keepLines w:val="1"/>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9"/>
    <w:semiHidden w:val="1"/>
    <w:unhideWhenUsed w:val="1"/>
    <w:qFormat w:val="1"/>
    <w:pPr>
      <w:keepNext w:val="1"/>
      <w:keepLines w:val="1"/>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val="1"/>
    <w:unhideWhenUsed w:val="1"/>
    <w:qFormat w:val="1"/>
    <w:pPr>
      <w:tabs>
        <w:tab w:val="num" w:pos="4320"/>
      </w:tabs>
      <w:overflowPunct w:val="1"/>
      <w:autoSpaceDE w:val="1"/>
      <w:autoSpaceDN w:val="1"/>
      <w:adjustRightInd w:val="1"/>
      <w:ind w:left="4320" w:hanging="720"/>
      <w:textAlignment w:val="auto"/>
      <w:outlineLvl w:val="4"/>
    </w:pPr>
    <w:rPr>
      <w:rFonts w:ascii="Times New Roman" w:cs="Times New Roman" w:hAnsi="Times New Roman" w:eastAsiaTheme="minorHAnsi"/>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pPr>
      <w:tabs>
        <w:tab w:val="num" w:pos="4320"/>
      </w:tabs>
      <w:overflowPunct w:val="1"/>
      <w:autoSpaceDE w:val="1"/>
      <w:autoSpaceDN w:val="1"/>
      <w:adjustRightInd w:val="1"/>
      <w:spacing w:line="360" w:lineRule="auto"/>
      <w:ind w:left="4320" w:hanging="720"/>
      <w:textAlignment w:val="auto"/>
      <w:outlineLvl w:val="5"/>
    </w:pPr>
    <w:rPr>
      <w:rFonts w:ascii="Times New Roman" w:cs="Times New Roman" w:hAnsi="Times New Roman" w:eastAsiaTheme="minorHAnsi"/>
      <w:lang w:eastAsia="zh-CN"/>
    </w:rPr>
  </w:style>
  <w:style w:type="paragraph" w:styleId="Heading7">
    <w:name w:val="heading 7"/>
    <w:aliases w:val="Legal Level 1.1.,Lev 7,Heading 7(unused),L2 PIP,H7DO NOT USE,PA Appendix Major,Blank 3,Heading 7 (Do Not Use)"/>
    <w:basedOn w:val="Normal"/>
    <w:link w:val="Heading7Char"/>
    <w:unhideWhenUsed w:val="1"/>
    <w:qFormat w:val="1"/>
    <w:pPr>
      <w:tabs>
        <w:tab w:val="num" w:pos="5040"/>
      </w:tabs>
      <w:overflowPunct w:val="1"/>
      <w:autoSpaceDE w:val="1"/>
      <w:autoSpaceDN w:val="1"/>
      <w:adjustRightInd w:val="1"/>
      <w:spacing w:line="360" w:lineRule="auto"/>
      <w:ind w:left="5040" w:hanging="720"/>
      <w:textAlignment w:val="auto"/>
      <w:outlineLvl w:val="6"/>
    </w:pPr>
    <w:rPr>
      <w:rFonts w:ascii="Times New Roman" w:cs="Times New Roman" w:hAnsi="Times New Roman" w:eastAsiaTheme="minorHAnsi"/>
      <w:lang w:eastAsia="zh-CN"/>
    </w:rPr>
  </w:style>
  <w:style w:type="paragraph" w:styleId="Heading8">
    <w:name w:val="heading 8"/>
    <w:aliases w:val="Heading 8 (Do Not Use),Legal Level 1.1.1.,Lev 8,h8 DO NOT USE,PA Appendix Minor"/>
    <w:basedOn w:val="Normal"/>
    <w:link w:val="Heading8Char"/>
    <w:qFormat w:val="1"/>
    <w:pPr>
      <w:tabs>
        <w:tab w:val="num" w:pos="5040"/>
      </w:tabs>
      <w:overflowPunct w:val="1"/>
      <w:autoSpaceDE w:val="1"/>
      <w:autoSpaceDN w:val="1"/>
      <w:ind w:left="5040" w:hanging="720"/>
      <w:textAlignment w:val="auto"/>
      <w:outlineLvl w:val="7"/>
    </w:pPr>
    <w:rPr>
      <w:rFonts w:ascii="Arial" w:cs="Times New Roman" w:eastAsia="STZhongsong" w:hAnsi="Arial"/>
      <w:szCs w:val="20"/>
      <w:lang w:eastAsia="zh-CN"/>
    </w:rPr>
  </w:style>
  <w:style w:type="paragraph" w:styleId="Heading9">
    <w:name w:val="heading 9"/>
    <w:aliases w:val="Heading 9 (Do Not Use),Heading 9 (defunct),Legal Level 1.1.1.1.,Lev 9,h9 DO NOT USE,App Heading,Titre 10,App1"/>
    <w:basedOn w:val="Normal"/>
    <w:link w:val="Heading9Char"/>
    <w:qFormat w:val="1"/>
    <w:pPr>
      <w:tabs>
        <w:tab w:val="num" w:pos="5040"/>
      </w:tabs>
      <w:overflowPunct w:val="1"/>
      <w:autoSpaceDE w:val="1"/>
      <w:autoSpaceDN w:val="1"/>
      <w:ind w:left="5040" w:hanging="720"/>
      <w:textAlignment w:val="auto"/>
      <w:outlineLvl w:val="8"/>
    </w:pPr>
    <w:rPr>
      <w:rFonts w:ascii="Arial" w:cs="Times New Roman" w:eastAsia="STZhongsong" w:hAnsi="Arial"/>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macrorestart" w:customStyle="1">
    <w:name w:val="GPS macro restart"/>
    <w:basedOn w:val="Normal"/>
    <w:qFormat w:val="1"/>
    <w:pPr>
      <w:spacing w:after="0"/>
    </w:pPr>
    <w:rPr>
      <w:color w:val="ffffff"/>
      <w:sz w:val="16"/>
      <w:szCs w:val="16"/>
    </w:rPr>
  </w:style>
  <w:style w:type="paragraph" w:styleId="TableNormal1" w:customStyle="1">
    <w:name w:val="Table Normal1"/>
    <w:basedOn w:val="Normal"/>
    <w:qFormat w:val="1"/>
    <w:pPr>
      <w:spacing w:after="120"/>
      <w:ind w:left="34"/>
    </w:pPr>
  </w:style>
  <w:style w:type="paragraph" w:styleId="TSOLScheduleNormalLeft" w:customStyle="1">
    <w:name w:val="TSOL Schedule Normal Left"/>
    <w:basedOn w:val="Normal"/>
    <w:qFormat w:val="1"/>
    <w:pPr>
      <w:ind w:left="142"/>
    </w:pPr>
  </w:style>
  <w:style w:type="character" w:styleId="GPSL1GuidanceChar" w:customStyle="1">
    <w:name w:val="GPS L1 Guidance Char"/>
    <w:link w:val="GPSL1Guidance"/>
    <w:locked w:val="1"/>
    <w:rPr>
      <w:rFonts w:ascii="Calibri" w:cs="Arial" w:eastAsia="Times New Roman" w:hAnsi="Calibri"/>
      <w:b w:val="1"/>
      <w:i w:val="1"/>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1" w:customStyle="1">
    <w:name w:val="Normal1"/>
    <w:pPr>
      <w:widowControl w:val="0"/>
      <w:spacing w:after="80"/>
    </w:pPr>
    <w:rPr>
      <w:color w:val="000000"/>
    </w:rPr>
  </w:style>
  <w:style w:type="paragraph" w:styleId="GPSL1CLAUSEHEADING" w:customStyle="1">
    <w:name w:val="GPS L1 CLAUSE HEADING"/>
    <w:basedOn w:val="Normal"/>
    <w:next w:val="Normal"/>
    <w:link w:val="GPSL1CLAUSEHEADINGChar"/>
    <w:qFormat w:val="1"/>
    <w:pPr>
      <w:numPr>
        <w:numId w:val="2"/>
      </w:numPr>
      <w:tabs>
        <w:tab w:val="left" w:pos="0"/>
      </w:tabs>
      <w:overflowPunct w:val="1"/>
      <w:autoSpaceDE w:val="1"/>
      <w:autoSpaceDN w:val="1"/>
      <w:spacing w:before="240"/>
      <w:textAlignment w:val="auto"/>
      <w:outlineLvl w:val="1"/>
    </w:pPr>
    <w:rPr>
      <w:rFonts w:eastAsia="STZhongsong" w:asciiTheme="minorHAnsi" w:hAnsiTheme="minorHAnsi"/>
      <w:b w:val="1"/>
      <w:caps w:val="1"/>
      <w:lang w:eastAsia="zh-CN"/>
    </w:rPr>
  </w:style>
  <w:style w:type="character" w:styleId="GPSL1CLAUSEHEADINGChar" w:customStyle="1">
    <w:name w:val="GPS L1 CLAUSE HEADING Char"/>
    <w:link w:val="GPSL1CLAUSEHEADING"/>
    <w:rPr>
      <w:rFonts w:cs="Arial"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textAlignment w:val="auto"/>
    </w:pPr>
    <w:rPr>
      <w:lang w:eastAsia="zh-CN"/>
    </w:rPr>
  </w:style>
  <w:style w:type="paragraph" w:styleId="GPSL3numberedclause" w:customStyle="1">
    <w:name w:val="GPS L3 numbered clause"/>
    <w:basedOn w:val="GPSL2numberedclause"/>
    <w:link w:val="GPSL3numberedclauseChar"/>
    <w:qFormat w:val="1"/>
    <w:pPr>
      <w:numPr>
        <w:ilvl w:val="2"/>
        <w:numId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6numbered" w:customStyle="1">
    <w:name w:val="GPS L6 numbered"/>
    <w:basedOn w:val="GPSL5numberedclause"/>
    <w:qFormat w:val="1"/>
    <w:pPr>
      <w:numPr>
        <w:ilvl w:val="5"/>
      </w:numPr>
      <w:tabs>
        <w:tab w:val="left" w:pos="4253"/>
      </w:tabs>
    </w:p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cstheme="majorBidi" w:eastAsiaTheme="majorEastAsia" w:hAnsiTheme="majorHAnsi"/>
      <w:b w:val="1"/>
      <w:bCs w:val="1"/>
      <w:color w:val="365f91" w:themeColor="accent1" w:themeShade="0000BF"/>
      <w:sz w:val="28"/>
      <w:szCs w:val="28"/>
    </w:rPr>
  </w:style>
  <w:style w:type="paragraph" w:styleId="BodyTextIndent">
    <w:name w:val="Body Text Indent"/>
    <w:basedOn w:val="Normal"/>
    <w:link w:val="BodyTextIndentChar"/>
    <w:unhideWhenUsed w:val="1"/>
    <w:pPr>
      <w:spacing w:after="120"/>
      <w:ind w:left="283"/>
    </w:pPr>
  </w:style>
  <w:style w:type="character" w:styleId="BodyTextIndentChar" w:customStyle="1">
    <w:name w:val="Body Text Indent Char"/>
    <w:basedOn w:val="DefaultParagraphFont"/>
    <w:link w:val="BodyTextIndent"/>
    <w:rPr>
      <w:rFonts w:ascii="Calibri" w:cs="Arial" w:eastAsia="Times New Roman" w:hAnsi="Calibri"/>
    </w:rPr>
  </w:style>
  <w:style w:type="paragraph" w:styleId="GPSL1SCHEDULEHeading" w:customStyle="1">
    <w:name w:val="GPS L1 SCHEDULE Heading"/>
    <w:basedOn w:val="GPSL1CLAUSEHEADING"/>
    <w:link w:val="GPSL1SCHEDULEHeadingChar"/>
    <w:qFormat w:val="1"/>
    <w:pPr>
      <w:numPr>
        <w:numId w:val="0"/>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paragraph" w:styleId="GPSL2Numbered" w:customStyle="1">
    <w:name w:val="GPS L2 Numbered"/>
    <w:basedOn w:val="Normal"/>
    <w:link w:val="GPSL2NumberedChar"/>
    <w:qFormat w:val="1"/>
    <w:pPr>
      <w:numPr>
        <w:ilvl w:val="1"/>
        <w:numId w:val="2"/>
      </w:numPr>
      <w:overflowPunct w:val="1"/>
      <w:autoSpaceDE w:val="1"/>
      <w:autoSpaceDN w:val="1"/>
      <w:spacing w:after="120" w:before="120"/>
      <w:textAlignment w:val="auto"/>
    </w:pPr>
    <w:rPr>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umberedBoldHeading" w:customStyle="1">
    <w:name w:val="GPS L2 Numbered Bold Heading"/>
    <w:basedOn w:val="Normal"/>
  </w:style>
  <w:style w:type="paragraph" w:styleId="BodyTextIndent2">
    <w:name w:val="Body Text Indent 2"/>
    <w:basedOn w:val="Normal"/>
    <w:link w:val="BodyTextIndent2Char"/>
    <w:unhideWhenUsed w:val="1"/>
    <w:pPr>
      <w:spacing w:after="120" w:line="480" w:lineRule="auto"/>
      <w:ind w:left="283"/>
    </w:pPr>
  </w:style>
  <w:style w:type="character" w:styleId="BodyTextIndent2Char" w:customStyle="1">
    <w:name w:val="Body Text Indent 2 Char"/>
    <w:basedOn w:val="DefaultParagraphFont"/>
    <w:link w:val="BodyTextIndent2"/>
    <w:uiPriority w:val="99"/>
    <w:rPr>
      <w:rFonts w:ascii="Calibri" w:cs="Arial" w:eastAsia="Times New Roman" w:hAnsi="Calibri"/>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cstheme="majorBidi" w:eastAsiaTheme="majorEastAsia" w:hAnsiTheme="majorHAnsi"/>
      <w:b w:val="1"/>
      <w:bCs w:val="1"/>
      <w:color w:val="4f81bd" w:themeColor="accent1"/>
      <w:sz w:val="26"/>
      <w:szCs w:val="26"/>
    </w:rPr>
  </w:style>
  <w:style w:type="paragraph" w:styleId="Revision">
    <w:name w:val="Revision"/>
    <w:hidden w:val="1"/>
    <w:uiPriority w:val="99"/>
    <w:semiHidden w:val="1"/>
    <w:pPr>
      <w:spacing w:after="0"/>
    </w:pPr>
    <w:rPr>
      <w:rFonts w:cs="Arial" w:eastAsia="Times New Roman"/>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cstheme="majorBidi" w:eastAsiaTheme="majorEastAsia" w:hAnsiTheme="majorHAnsi"/>
      <w:b w:val="1"/>
      <w:bCs w:val="1"/>
      <w:color w:val="4f81bd" w:themeColor="accent1"/>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cstheme="majorBidi" w:eastAsiaTheme="majorEastAsia" w:hAnsiTheme="majorHAnsi"/>
      <w:b w:val="1"/>
      <w:bCs w:val="1"/>
      <w:i w:val="1"/>
      <w:iCs w:val="1"/>
      <w:color w:val="4f81bd" w:themeColor="accent1"/>
    </w:rPr>
  </w:style>
  <w:style w:type="character" w:styleId="Heading5Char" w:customStyle="1">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cs="Times New Roman" w:hAnsi="Times New Roman"/>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cs="Times New Roman" w:hAnsi="Times New Roman"/>
      <w:lang w:eastAsia="zh-CN"/>
    </w:rPr>
  </w:style>
  <w:style w:type="character" w:styleId="Heading7Char" w:customStyle="1">
    <w:name w:val="Heading 7 Char"/>
    <w:aliases w:val="Legal Level 1.1. Char,Lev 7 Char,Heading 7(unused) Char,L2 PIP Char,H7DO NOT USE Char,PA Appendix Major Char,Blank 3 Char,Heading 7 (Do Not Use) Char"/>
    <w:basedOn w:val="DefaultParagraphFont"/>
    <w:link w:val="Heading7"/>
    <w:uiPriority w:val="9"/>
    <w:semiHidden w:val="1"/>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
    <w:basedOn w:val="DefaultParagraphFont"/>
    <w:link w:val="Heading8"/>
    <w:rPr>
      <w:rFonts w:ascii="Arial" w:cs="Times New Roman" w:eastAsia="STZhongsong" w:hAnsi="Arial"/>
      <w:szCs w:val="20"/>
      <w:lang w:eastAsia="zh-CN"/>
    </w:rPr>
  </w:style>
  <w:style w:type="character" w:styleId="Heading9Char" w:customStyle="1">
    <w:name w:val="Heading 9 Char"/>
    <w:aliases w:val="Heading 9 (Do Not Use) Char,Heading 9 (defunct) Char,Legal Level 1.1.1.1. Char,Lev 9 Char,h9 DO NOT USE Char,App Heading Char,Titre 10 Char,App1 Char"/>
    <w:basedOn w:val="DefaultParagraphFont"/>
    <w:link w:val="Heading9"/>
    <w:rPr>
      <w:rFonts w:ascii="Arial" w:cs="Times New Roman" w:eastAsia="STZhongsong" w:hAnsi="Arial"/>
      <w:szCs w:val="20"/>
      <w:lang w:eastAsia="zh-CN"/>
    </w:rPr>
  </w:style>
  <w:style w:type="paragraph" w:styleId="DefinitionNumbering1" w:customStyle="1">
    <w:name w:val="Definition Numbering 1"/>
    <w:basedOn w:val="Normal"/>
    <w:pPr>
      <w:tabs>
        <w:tab w:val="num" w:pos="360"/>
      </w:tabs>
      <w:overflowPunct w:val="1"/>
      <w:autoSpaceDE w:val="1"/>
      <w:autoSpaceDN w:val="1"/>
      <w:spacing w:after="120"/>
      <w:ind w:left="360" w:hanging="720"/>
      <w:textAlignment w:val="auto"/>
      <w:outlineLvl w:val="0"/>
    </w:pPr>
    <w:rPr>
      <w:rFonts w:cs="Times New Roman" w:eastAsia="STZhongsong"/>
      <w:szCs w:val="20"/>
      <w:lang w:eastAsia="zh-CN"/>
    </w:rPr>
  </w:style>
  <w:style w:type="paragraph" w:styleId="DefinitionNumbering2" w:customStyle="1">
    <w:name w:val="Definition Numbering 2"/>
    <w:basedOn w:val="Normal"/>
    <w:pPr>
      <w:tabs>
        <w:tab w:val="num" w:pos="2520"/>
      </w:tabs>
      <w:overflowPunct w:val="1"/>
      <w:autoSpaceDE w:val="1"/>
      <w:autoSpaceDN w:val="1"/>
      <w:ind w:left="2520" w:hanging="1080"/>
      <w:textAlignment w:val="auto"/>
      <w:outlineLvl w:val="1"/>
    </w:pPr>
    <w:rPr>
      <w:rFonts w:ascii="Times New Roman" w:cs="Times New Roman" w:eastAsia="STZhongsong" w:hAnsi="Times New Roman"/>
      <w:szCs w:val="20"/>
      <w:lang w:eastAsia="zh-CN"/>
    </w:rPr>
  </w:style>
  <w:style w:type="paragraph" w:styleId="DefinitionNumbering3" w:customStyle="1">
    <w:name w:val="Definition Numbering 3"/>
    <w:basedOn w:val="Normal"/>
    <w:pPr>
      <w:tabs>
        <w:tab w:val="num" w:pos="3240"/>
      </w:tabs>
      <w:overflowPunct w:val="1"/>
      <w:autoSpaceDE w:val="1"/>
      <w:autoSpaceDN w:val="1"/>
      <w:ind w:left="3240" w:hanging="720"/>
      <w:textAlignment w:val="auto"/>
      <w:outlineLvl w:val="2"/>
    </w:pPr>
    <w:rPr>
      <w:rFonts w:ascii="Times New Roman" w:cs="Times New Roman" w:eastAsia="STZhongsong" w:hAnsi="Times New Roman"/>
      <w:szCs w:val="20"/>
      <w:lang w:eastAsia="zh-CN"/>
    </w:rPr>
  </w:style>
  <w:style w:type="paragraph" w:styleId="DefinitionNumbering4" w:customStyle="1">
    <w:name w:val="Definition Numbering 4"/>
    <w:basedOn w:val="Normal"/>
    <w:pPr>
      <w:tabs>
        <w:tab w:val="num" w:pos="2520"/>
      </w:tabs>
      <w:overflowPunct w:val="1"/>
      <w:autoSpaceDE w:val="1"/>
      <w:autoSpaceDN w:val="1"/>
      <w:ind w:left="2520" w:hanging="1080"/>
      <w:textAlignment w:val="auto"/>
      <w:outlineLvl w:val="3"/>
    </w:pPr>
    <w:rPr>
      <w:rFonts w:ascii="Times New Roman" w:cs="Times New Roman" w:eastAsia="STZhongsong" w:hAnsi="Times New Roman"/>
      <w:szCs w:val="20"/>
      <w:lang w:eastAsia="zh-CN"/>
    </w:rPr>
  </w:style>
  <w:style w:type="paragraph" w:styleId="DefinitionNumbering5" w:customStyle="1">
    <w:name w:val="Definition Numbering 5"/>
    <w:basedOn w:val="Normal"/>
    <w:pPr>
      <w:tabs>
        <w:tab w:val="num" w:pos="2520"/>
      </w:tabs>
      <w:overflowPunct w:val="1"/>
      <w:autoSpaceDE w:val="1"/>
      <w:autoSpaceDN w:val="1"/>
      <w:ind w:left="2520" w:hanging="1080"/>
      <w:textAlignment w:val="auto"/>
      <w:outlineLvl w:val="4"/>
    </w:pPr>
    <w:rPr>
      <w:rFonts w:ascii="Times New Roman" w:cs="Times New Roman" w:eastAsia="STZhongsong" w:hAnsi="Times New Roman"/>
      <w:szCs w:val="20"/>
      <w:lang w:eastAsia="zh-CN"/>
    </w:rPr>
  </w:style>
  <w:style w:type="paragraph" w:styleId="DefinitionNumbering6" w:customStyle="1">
    <w:name w:val="Definition Numbering 6"/>
    <w:basedOn w:val="Normal"/>
    <w:pPr>
      <w:tabs>
        <w:tab w:val="num" w:pos="2520"/>
      </w:tabs>
      <w:overflowPunct w:val="1"/>
      <w:autoSpaceDE w:val="1"/>
      <w:autoSpaceDN w:val="1"/>
      <w:ind w:left="2520" w:hanging="1080"/>
      <w:textAlignment w:val="auto"/>
      <w:outlineLvl w:val="5"/>
    </w:pPr>
    <w:rPr>
      <w:rFonts w:ascii="Times New Roman" w:cs="Times New Roman" w:eastAsia="STZhongsong" w:hAnsi="Times New Roman"/>
      <w:szCs w:val="20"/>
      <w:lang w:eastAsia="zh-CN"/>
    </w:rPr>
  </w:style>
  <w:style w:type="paragraph" w:styleId="DefinitionNumbering7" w:customStyle="1">
    <w:name w:val="Definition Numbering 7"/>
    <w:basedOn w:val="Normal"/>
    <w:pPr>
      <w:tabs>
        <w:tab w:val="num" w:pos="2520"/>
      </w:tabs>
      <w:overflowPunct w:val="1"/>
      <w:autoSpaceDE w:val="1"/>
      <w:autoSpaceDN w:val="1"/>
      <w:ind w:left="2520" w:hanging="1080"/>
      <w:textAlignment w:val="auto"/>
      <w:outlineLvl w:val="6"/>
    </w:pPr>
    <w:rPr>
      <w:rFonts w:ascii="Times New Roman" w:cs="Times New Roman" w:eastAsia="STZhongsong" w:hAnsi="Times New Roman"/>
      <w:szCs w:val="20"/>
      <w:lang w:eastAsia="zh-CN"/>
    </w:rPr>
  </w:style>
  <w:style w:type="paragraph" w:styleId="GPsDefinition" w:customStyle="1">
    <w:name w:val="GPs Definition"/>
    <w:basedOn w:val="Normal"/>
    <w:uiPriority w:val="99"/>
    <w:qFormat w:val="1"/>
    <w:pPr>
      <w:tabs>
        <w:tab w:val="left" w:pos="-9"/>
        <w:tab w:val="num" w:pos="720"/>
      </w:tabs>
      <w:spacing w:after="120"/>
      <w:ind w:left="720" w:hanging="720"/>
    </w:pPr>
    <w:rPr>
      <w:rFonts w:ascii="Arial" w:hAnsi="Arial"/>
    </w:rPr>
  </w:style>
  <w:style w:type="paragraph" w:styleId="GPSDefinitionL2" w:customStyle="1">
    <w:name w:val="GPS Definition L2"/>
    <w:basedOn w:val="GPsDefinition"/>
    <w:uiPriority w:val="99"/>
    <w:qFormat w:val="1"/>
    <w:pPr>
      <w:numPr>
        <w:ilvl w:val="1"/>
      </w:numPr>
      <w:tabs>
        <w:tab w:val="clear" w:pos="-9"/>
        <w:tab w:val="left" w:pos="144"/>
        <w:tab w:val="num" w:pos="720"/>
      </w:tabs>
      <w:ind w:left="720" w:hanging="545"/>
    </w:pPr>
  </w:style>
  <w:style w:type="paragraph" w:styleId="GPSDefinitionL3" w:customStyle="1">
    <w:name w:val="GPS Definition L3"/>
    <w:basedOn w:val="GPSDefinitionL2"/>
    <w:uiPriority w:val="99"/>
    <w:qFormat w:val="1"/>
    <w:pPr>
      <w:numPr>
        <w:ilvl w:val="2"/>
      </w:numPr>
      <w:tabs>
        <w:tab w:val="num" w:pos="720"/>
      </w:tabs>
      <w:ind w:left="720" w:hanging="545"/>
    </w:pPr>
  </w:style>
  <w:style w:type="paragraph" w:styleId="GPSDefinitionL4" w:customStyle="1">
    <w:name w:val="GPS Definition L4"/>
    <w:basedOn w:val="GPSDefinitionL3"/>
    <w:uiPriority w:val="99"/>
    <w:qFormat w:val="1"/>
    <w:pPr>
      <w:numPr>
        <w:ilvl w:val="3"/>
      </w:numPr>
      <w:tabs>
        <w:tab w:val="num" w:pos="720"/>
      </w:tabs>
      <w:ind w:left="720" w:hanging="545"/>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ListParagraph">
    <w:name w:val="List Paragraph"/>
    <w:basedOn w:val="Normal"/>
    <w:uiPriority w:val="34"/>
    <w:qFormat w:val="1"/>
    <w:rsid w:val="00B36D6C"/>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QYDUb60b7aFwEmaF5/T95NMFLA==">AMUW2mW6+D1cDMwKAfhxfVFmDfit2+QBQ5AD740WKxC6gO7NnX+csaJqMWFvBdY0h0pxLDslEhz5AgRnc1rWH6SuT8nV0DgtJrnJFXnR66temTLFFcSEdkZ54+AaU9mEGLUCb+oXhHXgjUFHYxXKkswaXIXtgtFC8NIKT060B5DC5CdBm69rJ4EX7aI9I3/G/cf4pzrAS8r/L3nFY42ozaSjcEF6DH2NO0DowIm7C3NiXkgyHL/5AVsEXAcrfi+1UfErvVEJB7W7RNznR9EBh1P+bO+Q8TRxcvAUeTIbwJJ8n5IGME1qcIP9W9r1fodtnBRGk9vxTaex0vs8e0eF4iiB/HSNZUUKpWN3wmfoEWR2vr9D2HCV6C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2021-11-30T09:31:00Z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D1V9</vt:lpwstr>
  </property>
</Properties>
</file>